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before="160" w:lineRule="auto"/>
        <w:ind w:right="160"/>
        <w:jc w:val="center"/>
        <w:rPr>
          <w:b w:val="1"/>
          <w:sz w:val="24"/>
          <w:szCs w:val="24"/>
        </w:rPr>
      </w:pPr>
      <w:r w:rsidDel="00000000" w:rsidR="00000000" w:rsidRPr="00000000">
        <w:rPr>
          <w:b w:val="1"/>
          <w:sz w:val="24"/>
          <w:szCs w:val="24"/>
          <w:rtl w:val="0"/>
        </w:rPr>
        <w:t xml:space="preserve">MNPV2-MC4</w:t>
      </w:r>
    </w:p>
    <w:p w:rsidR="00000000" w:rsidDel="00000000" w:rsidP="00000000" w:rsidRDefault="00000000" w:rsidRPr="00000000" w14:paraId="00000003">
      <w:pPr>
        <w:jc w:val="center"/>
        <w:rPr>
          <w:b w:val="1"/>
          <w:sz w:val="24"/>
          <w:szCs w:val="24"/>
        </w:rPr>
      </w:pPr>
      <w:r w:rsidDel="00000000" w:rsidR="00000000" w:rsidRPr="00000000">
        <w:rPr>
          <w:b w:val="1"/>
          <w:sz w:val="24"/>
          <w:szCs w:val="24"/>
        </w:rPr>
        <w:drawing>
          <wp:inline distB="114300" distT="114300" distL="114300" distR="114300">
            <wp:extent cx="2381250" cy="49053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81250" cy="4905375"/>
                    </a:xfrm>
                    <a:prstGeom prst="rect"/>
                    <a:ln/>
                  </pic:spPr>
                </pic:pic>
              </a:graphicData>
            </a:graphic>
          </wp:inline>
        </w:drawing>
      </w:r>
      <w:r w:rsidDel="00000000" w:rsidR="00000000" w:rsidRPr="00000000">
        <w:rPr>
          <w:rtl w:val="0"/>
        </w:rPr>
      </w:r>
    </w:p>
    <w:tbl>
      <w:tblPr>
        <w:tblStyle w:val="Table1"/>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1065"/>
        <w:gridCol w:w="2700"/>
        <w:gridCol w:w="2085"/>
        <w:gridCol w:w="990"/>
        <w:tblGridChange w:id="0">
          <w:tblGrid>
            <w:gridCol w:w="1710"/>
            <w:gridCol w:w="1065"/>
            <w:gridCol w:w="2700"/>
            <w:gridCol w:w="2085"/>
            <w:gridCol w:w="990"/>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5">
            <w:pPr>
              <w:ind w:left="16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b w:val="1"/>
                <w:sz w:val="18"/>
                <w:szCs w:val="18"/>
                <w:rtl w:val="0"/>
              </w:rPr>
              <w:t xml:space="preserve">Size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7">
            <w:pPr>
              <w:ind w:left="160" w:firstLine="0"/>
              <w:rPr>
                <w:b w:val="1"/>
                <w:sz w:val="18"/>
                <w:szCs w:val="18"/>
              </w:rPr>
            </w:pPr>
            <w:r w:rsidDel="00000000" w:rsidR="00000000" w:rsidRPr="00000000">
              <w:rPr>
                <w:b w:val="1"/>
                <w:sz w:val="18"/>
                <w:szCs w:val="18"/>
                <w:rtl w:val="0"/>
              </w:rPr>
              <w:t xml:space="preserve">Shipping</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8">
            <w:pPr>
              <w:ind w:left="160" w:firstLine="0"/>
              <w:rPr>
                <w:b w:val="1"/>
                <w:sz w:val="18"/>
                <w:szCs w:val="18"/>
              </w:rPr>
            </w:pPr>
            <w:r w:rsidDel="00000000" w:rsidR="00000000" w:rsidRPr="00000000">
              <w:rPr>
                <w:b w:val="1"/>
                <w:sz w:val="18"/>
                <w:szCs w:val="18"/>
                <w:rtl w:val="0"/>
              </w:rPr>
              <w:t xml:space="preserve">Weight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hd w:fill="ecf0fc" w:val="clear"/>
              <w:ind w:left="240" w:firstLine="0"/>
              <w:rPr>
                <w:b w:val="1"/>
                <w:sz w:val="18"/>
                <w:szCs w:val="18"/>
              </w:rPr>
            </w:pPr>
            <w:r w:rsidDel="00000000" w:rsidR="00000000" w:rsidRPr="00000000">
              <w:rPr>
                <w:b w:val="1"/>
                <w:sz w:val="18"/>
                <w:szCs w:val="18"/>
                <w:rtl w:val="0"/>
              </w:rPr>
              <w:t xml:space="preserve">MNPV2-MC4</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A">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345.00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160" w:firstLine="0"/>
              <w:rPr>
                <w:sz w:val="18"/>
                <w:szCs w:val="18"/>
              </w:rPr>
            </w:pPr>
            <w:r w:rsidDel="00000000" w:rsidR="00000000" w:rsidRPr="00000000">
              <w:rPr>
                <w:sz w:val="18"/>
                <w:szCs w:val="18"/>
                <w:rtl w:val="0"/>
              </w:rPr>
              <w:t xml:space="preserve">10.5"L X 4.5"W X 3.5"D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160" w:firstLine="0"/>
              <w:rPr>
                <w:sz w:val="18"/>
                <w:szCs w:val="18"/>
              </w:rPr>
            </w:pPr>
            <w:r w:rsidDel="00000000" w:rsidR="00000000" w:rsidRPr="00000000">
              <w:rPr>
                <w:sz w:val="18"/>
                <w:szCs w:val="18"/>
                <w:rtl w:val="0"/>
              </w:rPr>
              <w:t xml:space="preserve">11"L X 5"W X 4"D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D">
            <w:pPr>
              <w:ind w:left="160" w:firstLine="0"/>
              <w:rPr>
                <w:sz w:val="18"/>
                <w:szCs w:val="18"/>
              </w:rPr>
            </w:pPr>
            <w:r w:rsidDel="00000000" w:rsidR="00000000" w:rsidRPr="00000000">
              <w:rPr>
                <w:sz w:val="18"/>
                <w:szCs w:val="18"/>
                <w:rtl w:val="0"/>
              </w:rPr>
              <w:t xml:space="preserve">3 Lbs</w:t>
            </w:r>
          </w:p>
        </w:tc>
      </w:tr>
    </w:tbl>
    <w:p w:rsidR="00000000" w:rsidDel="00000000" w:rsidP="00000000" w:rsidRDefault="00000000" w:rsidRPr="00000000" w14:paraId="0000000E">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"https://www.midnitesolar.com/documents.php?productCat_ID=35&amp;model=MNPV2-MC4&amp;product_ID=392&amp;act=info"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0F">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10">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"https://www.midnitesolar.com/images/products/hiRes/pv3_withClips1_hiRes.zip"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1">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2">
      <w:pPr>
        <w:shd w:fill="efefef" w:val="clear"/>
        <w:spacing w:after="160" w:before="160" w:lineRule="auto"/>
        <w:ind w:left="300" w:right="160" w:firstLine="0"/>
        <w:rPr>
          <w:sz w:val="18"/>
          <w:szCs w:val="18"/>
        </w:rPr>
      </w:pPr>
      <w:r w:rsidDel="00000000" w:rsidR="00000000" w:rsidRPr="00000000">
        <w:rPr>
          <w:sz w:val="18"/>
          <w:szCs w:val="18"/>
          <w:rtl w:val="0"/>
        </w:rPr>
        <w:t xml:space="preserve">This 3R Pre-Wired MNPV2 Combiner Is Rated For Outdoor Use. Designed For Combining High Voltage Strings Using Standard 10mm X 38mm Fuses Up To 60 Amps Total.</w:t>
      </w:r>
    </w:p>
    <w:p w:rsidR="00000000" w:rsidDel="00000000" w:rsidP="00000000" w:rsidRDefault="00000000" w:rsidRPr="00000000" w14:paraId="00000013">
      <w:pPr>
        <w:spacing w:after="160" w:lineRule="auto"/>
        <w:ind w:left="460" w:right="80" w:firstLine="0"/>
        <w:rPr>
          <w:sz w:val="18"/>
          <w:szCs w:val="18"/>
        </w:rPr>
      </w:pPr>
      <w:r w:rsidDel="00000000" w:rsidR="00000000" w:rsidRPr="00000000">
        <w:rPr>
          <w:sz w:val="18"/>
          <w:szCs w:val="18"/>
          <w:rtl w:val="0"/>
        </w:rPr>
        <w:t xml:space="preserve">The Pre-Wired MNPV2 Combiner Is Rated For Outdoor Use. Designed For Combining High Voltage Strings Using 10mm X 38mm Fuses Up To 60 Total. The Use Of Touch Safe Din Rail Mount Fuse Holders And Fuses Allow Operation Up To 600 Volts. The MNPV2 Is Rated For Up To 60 Amps.</w:t>
      </w:r>
    </w:p>
    <w:p w:rsidR="00000000" w:rsidDel="00000000" w:rsidP="00000000" w:rsidRDefault="00000000" w:rsidRPr="00000000" w14:paraId="00000014">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Type 1 Environmental Rating</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Fast, Convenient Hook Up With Industry Standard Connectors</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All Aluminum Powder Coated Housing That Won't Rust</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Flip Up Cover That Can Stay In The Open Position During Installation</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PV Negative Bus Bar With #6 And 1/0 Connections</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Chassis Ground Bus Bar With #6 And 1/0 Connections</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Standard DIN Rail With (X) 30 Amp Touch Safe Fuseholders. 15 Amp Fuses Included.</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Tin Plated Copper Bus Bar That Connect PV Plus Outputs</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Dead Front Cover Snaps Into Place After Wiring Is Complete For Safety</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Connectors For PV In And PV Out On Bottom, Additional Knockouts On Bottom And Sides</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Top Surface Is Available To Bring Conduit In From Directly Above The Enclosure</w:t>
      </w:r>
    </w:p>
    <w:p w:rsidR="00000000" w:rsidDel="00000000" w:rsidP="00000000" w:rsidRDefault="00000000" w:rsidRPr="00000000" w14:paraId="00000020">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1">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2">
      <w:pPr>
        <w:spacing w:after="160" w:lineRule="auto"/>
        <w:ind w:left="460" w:right="80" w:firstLine="0"/>
        <w:rPr>
          <w:color w:val="038a0c"/>
          <w:sz w:val="18"/>
          <w:szCs w:val="18"/>
          <w:u w:val="single"/>
        </w:rPr>
      </w:pPr>
      <w:hyperlink r:id="rId7">
        <w:r w:rsidDel="00000000" w:rsidR="00000000" w:rsidRPr="00000000">
          <w:rPr>
            <w:color w:val="038a0c"/>
            <w:sz w:val="18"/>
            <w:szCs w:val="18"/>
            <w:u w:val="single"/>
            <w:rtl w:val="0"/>
          </w:rPr>
          <w:t xml:space="preserve">Pre-Wired Ad</w:t>
        </w:r>
      </w:hyperlink>
      <w:r w:rsidDel="00000000" w:rsidR="00000000" w:rsidRPr="00000000">
        <w:rPr>
          <w:rtl w:val="0"/>
        </w:rPr>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hyperlink r:id="rId8">
        <w:r w:rsidDel="00000000" w:rsidR="00000000" w:rsidRPr="00000000">
          <w:rPr>
            <w:color w:val="326088"/>
            <w:sz w:val="18"/>
            <w:szCs w:val="18"/>
            <w:rtl w:val="0"/>
          </w:rPr>
          <w:t xml:space="preserve">Warranty - 5 Yrs.</w:t>
        </w:r>
      </w:hyperlink>
      <w:r w:rsidDel="00000000" w:rsidR="00000000" w:rsidRPr="00000000">
        <w:rPr>
          <w:rtl w:val="0"/>
        </w:rPr>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Listed By ETL For US &amp; Canada</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Made In The USA</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60" w:lineRule="auto"/>
        <w:ind w:left="460" w:right="80" w:firstLine="0"/>
        <w:rPr>
          <w:sz w:val="18"/>
          <w:szCs w:val="18"/>
        </w:rPr>
      </w:pPr>
      <w:r w:rsidDel="00000000" w:rsidR="00000000" w:rsidRPr="00000000">
        <w:rPr>
          <w:sz w:val="18"/>
          <w:szCs w:val="18"/>
          <w:rtl w:val="0"/>
        </w:rPr>
        <w:t xml:space="preserve">California Residents: </w:t>
      </w:r>
      <w:hyperlink r:id="rId9">
        <w:r w:rsidDel="00000000" w:rsidR="00000000" w:rsidRPr="00000000">
          <w:rPr>
            <w:sz w:val="18"/>
            <w:szCs w:val="18"/>
            <w:rtl w:val="0"/>
          </w:rPr>
          <w:t xml:space="preserve">Warning</w:t>
        </w:r>
      </w:hyperlink>
      <w:r w:rsidDel="00000000" w:rsidR="00000000" w:rsidRPr="00000000">
        <w:rPr>
          <w:rtl w:val="0"/>
        </w:rPr>
      </w:r>
    </w:p>
    <w:p w:rsidR="00000000" w:rsidDel="00000000" w:rsidP="00000000" w:rsidRDefault="00000000" w:rsidRPr="00000000" w14:paraId="00000027">
      <w:pPr>
        <w:shd w:fill="efefef" w:val="clear"/>
        <w:spacing w:before="160" w:lineRule="auto"/>
        <w:ind w:left="300" w:right="80" w:firstLine="0"/>
        <w:rPr>
          <w:b w:val="1"/>
          <w:sz w:val="18"/>
          <w:szCs w:val="18"/>
        </w:rPr>
      </w:pPr>
      <w:r w:rsidDel="00000000" w:rsidR="00000000" w:rsidRPr="00000000">
        <w:rPr>
          <w:b w:val="1"/>
          <w:sz w:val="18"/>
          <w:szCs w:val="18"/>
          <w:rtl w:val="0"/>
        </w:rPr>
        <w:t xml:space="preserve">ACCESSORIES</w:t>
      </w:r>
    </w:p>
    <w:p w:rsidR="00000000" w:rsidDel="00000000" w:rsidP="00000000" w:rsidRDefault="00000000" w:rsidRPr="00000000" w14:paraId="00000028">
      <w:pPr>
        <w:spacing w:before="160" w:lineRule="auto"/>
        <w:ind w:left="300" w:right="80" w:firstLine="0"/>
        <w:rPr>
          <w:b w:val="1"/>
          <w:sz w:val="18"/>
          <w:szCs w:val="18"/>
        </w:rPr>
      </w:pPr>
      <w:r w:rsidDel="00000000" w:rsidR="00000000" w:rsidRPr="00000000">
        <w:rPr>
          <w:b w:val="1"/>
          <w:sz w:val="18"/>
          <w:szCs w:val="18"/>
        </w:rPr>
        <w:drawing>
          <wp:inline distB="114300" distT="114300" distL="114300" distR="114300">
            <wp:extent cx="714375" cy="904875"/>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71437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before="160" w:lineRule="auto"/>
        <w:ind w:left="300" w:right="80" w:firstLine="0"/>
        <w:rPr>
          <w:b w:val="1"/>
          <w:sz w:val="18"/>
          <w:szCs w:val="18"/>
        </w:rPr>
      </w:pPr>
      <w:hyperlink r:id="rId11">
        <w:r w:rsidDel="00000000" w:rsidR="00000000" w:rsidRPr="00000000">
          <w:rPr>
            <w:b w:val="1"/>
            <w:color w:val="326088"/>
            <w:sz w:val="18"/>
            <w:szCs w:val="18"/>
            <w:rtl w:val="0"/>
          </w:rPr>
          <w:t xml:space="preserve">MNSPD-600</w:t>
        </w:r>
      </w:hyperlink>
      <w:r w:rsidDel="00000000" w:rsidR="00000000" w:rsidRPr="00000000">
        <w:rPr>
          <w:b w:val="1"/>
          <w:sz w:val="18"/>
          <w:szCs w:val="18"/>
          <w:rtl w:val="0"/>
        </w:rPr>
        <w:t xml:space="preserve"> - $135.00</w:t>
      </w:r>
    </w:p>
    <w:p w:rsidR="00000000" w:rsidDel="00000000" w:rsidP="00000000" w:rsidRDefault="00000000" w:rsidRPr="00000000" w14:paraId="0000002A">
      <w:pPr>
        <w:spacing w:before="160" w:lineRule="auto"/>
        <w:ind w:left="300" w:right="80" w:firstLine="0"/>
        <w:rPr>
          <w:b w:val="1"/>
          <w:sz w:val="18"/>
          <w:szCs w:val="18"/>
        </w:rPr>
      </w:pPr>
      <w:r w:rsidDel="00000000" w:rsidR="00000000" w:rsidRPr="00000000">
        <w:rPr>
          <w:b w:val="1"/>
          <w:sz w:val="18"/>
          <w:szCs w:val="18"/>
          <w:rtl w:val="0"/>
        </w:rPr>
        <w:t xml:space="preserve">The MidNite Solar 600V Surge Protector Device (MNSPD) Is A Type 1 Device Per UL1449 Rev3 And Has An Outdoor Rating Of 4X For Outdoor Use. Protection For Grid-Tie PV Combiners And Inverter Input Circuits.</w:t>
      </w:r>
    </w:p>
    <w:p w:rsidR="00000000" w:rsidDel="00000000" w:rsidP="00000000" w:rsidRDefault="00000000" w:rsidRPr="00000000" w14:paraId="0000002B">
      <w:pPr>
        <w:spacing w:before="160" w:lineRule="auto"/>
        <w:ind w:left="300" w:right="80" w:firstLine="0"/>
        <w:rPr>
          <w:b w:val="1"/>
          <w:sz w:val="21"/>
          <w:szCs w:val="2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idnitesolar.com/productPhoto.php?product_ID=285&amp;productCat_ID=35&amp;sortOrder=1&amp;act=p" TargetMode="External"/><Relationship Id="rId10" Type="http://schemas.openxmlformats.org/officeDocument/2006/relationships/image" Target="media/image2.jpg"/><Relationship Id="rId9" Type="http://schemas.openxmlformats.org/officeDocument/2006/relationships/hyperlink" Target="https://www.midnitesolar.com/cal_prop_65.php"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midnitesolar.com/pdfs/solarPro_loRes.pdf" TargetMode="External"/><Relationship Id="rId8" Type="http://schemas.openxmlformats.org/officeDocument/2006/relationships/hyperlink" Target="http://www.midnitesolar.com/pdfs/MIDNITE_SOLAR_INC_Warran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