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rPr>
          <w:sz w:val="23"/>
          <w:szCs w:val="23"/>
          <w:highlight w:val="white"/>
        </w:rPr>
      </w:pPr>
      <w:r w:rsidDel="00000000" w:rsidR="00000000" w:rsidRPr="00000000">
        <w:rPr>
          <w:sz w:val="23"/>
          <w:szCs w:val="23"/>
          <w:highlight w:val="white"/>
          <w:rtl w:val="0"/>
        </w:rPr>
        <w:t xml:space="preserve">S-5! MAC Needle Point Self-Piercing Screws 1/4″ (6.3mm) Diameter-1″ (25mm) Length-5/16″ (8 mm) Stainless Steel Capped Hex head with stainless steel sealing washer.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MAC Needle Point Screws (Protea)</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.018 lb</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1 x 0.25 x 0.25 in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Case Qty: 250</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